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/>
      </w:pPr>
      <w:r w:rsidDel="00000000" w:rsidR="00000000" w:rsidRPr="00000000">
        <w:rPr/>
        <w:drawing>
          <wp:inline distB="0" distT="0" distL="0" distR="0">
            <wp:extent cx="5943600" cy="1114425"/>
            <wp:effectExtent b="0" l="0" r="0" t="0"/>
            <wp:docPr descr="Quill Learning Network Banner: Task-Based Activities for LBS" id="1036708503" name="image1.jpg"/>
            <a:graphic>
              <a:graphicData uri="http://schemas.openxmlformats.org/drawingml/2006/picture">
                <pic:pic>
                  <pic:nvPicPr>
                    <pic:cNvPr descr="Quill Learning Network Banner: Task-Based Activities for LB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Task Title: Job Profile – Food and Beverage Servers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OALCF Cover Sheet – Practitioner Copy</w:t>
      </w:r>
    </w:p>
    <w:p w:rsidR="00000000" w:rsidDel="00000000" w:rsidP="00000000" w:rsidRDefault="00000000" w:rsidRPr="00000000" w14:paraId="00000004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Name: __________________________________________  </w:t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Started: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7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Completed: _________________________________________</w:t>
      </w:r>
    </w:p>
    <w:tbl>
      <w:tblPr>
        <w:tblStyle w:val="Table1"/>
        <w:tblpPr w:leftFromText="180" w:rightFromText="180" w:topFromText="0" w:bottomFromText="0" w:vertAnchor="text" w:horzAnchor="text" w:tblpX="0" w:tblpY="40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ind w:left="-10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Path: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10367084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1036708498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14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10367084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103670849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14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-330199</wp:posOffset>
                      </wp:positionV>
                      <wp:extent cx="231140" cy="231140"/>
                      <wp:effectExtent b="0" l="0" r="0" t="0"/>
                      <wp:wrapNone/>
                      <wp:docPr id="10367084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-330199</wp:posOffset>
                      </wp:positionV>
                      <wp:extent cx="231140" cy="231140"/>
                      <wp:effectExtent b="0" l="0" r="0" t="0"/>
                      <wp:wrapNone/>
                      <wp:docPr id="103670849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14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10367084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1036708499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14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Post Secondary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Successful Completion: </w:t>
      </w:r>
      <w:r w:rsidDel="00000000" w:rsidR="00000000" w:rsidRPr="00000000">
        <w:rPr>
          <w:rtl w:val="0"/>
        </w:rPr>
        <w:t xml:space="preserve"> Yes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tl w:val="0"/>
        </w:rPr>
        <w:tab/>
        <w:t xml:space="preserve">No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03670850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03670850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03670849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03670849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203200</wp:posOffset>
                </wp:positionV>
                <wp:extent cx="255270" cy="231140"/>
                <wp:effectExtent b="0" l="0" r="0" t="0"/>
                <wp:wrapNone/>
                <wp:docPr id="103670850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24715" y="3670780"/>
                          <a:ext cx="242570" cy="218440"/>
                        </a:xfrm>
                        <a:prstGeom prst="rect">
                          <a:avLst/>
                        </a:prstGeom>
                        <a:solidFill>
                          <a:srgbClr val="AEABAB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203200</wp:posOffset>
                </wp:positionV>
                <wp:extent cx="255270" cy="231140"/>
                <wp:effectExtent b="0" l="0" r="0" t="0"/>
                <wp:wrapNone/>
                <wp:docPr id="103670850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7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t xml:space="preserve">Task Description:</w:t>
      </w:r>
      <w:r w:rsidDel="00000000" w:rsidR="00000000" w:rsidRPr="00000000">
        <w:rPr>
          <w:rtl w:val="0"/>
        </w:rPr>
        <w:t xml:space="preserve"> Use the Ontario Job Profiles website to find information about Food and Beverage Servers.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Main Competency/Task Group/Level Indicator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Find and Use Information/Read continuous text/A1.2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Use Digital Technology/D.2</w:t>
      </w:r>
    </w:p>
    <w:p w:rsidR="00000000" w:rsidDel="00000000" w:rsidP="00000000" w:rsidRDefault="00000000" w:rsidRPr="00000000" w14:paraId="00000014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Required: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Pen/pencil and paper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Computer or digital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Notes for Instructors/Practitioners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To explore a different job of interest, your learner can search for a job profile for one of the top 500 jobs in Ontario.  The questions below can be answered based on any job profile on this site:</w:t>
      </w:r>
    </w:p>
    <w:p w:rsidR="00000000" w:rsidDel="00000000" w:rsidP="00000000" w:rsidRDefault="00000000" w:rsidRPr="00000000" w14:paraId="0000001B">
      <w:pPr>
        <w:rPr/>
      </w:pP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https://www.services.labour.gov.on.ca/labourmarket-ui/search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This task is also included in the task bundle “Employment: Job Exploration” in which it has been adapted for each of the top 10 job postings in Ontario in 2024.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Learner Information</w:t>
      </w:r>
    </w:p>
    <w:p w:rsidR="00000000" w:rsidDel="00000000" w:rsidP="00000000" w:rsidRDefault="00000000" w:rsidRPr="00000000" w14:paraId="00000023">
      <w:pPr>
        <w:pStyle w:val="Heading1"/>
        <w:spacing w:after="240" w:lineRule="auto"/>
        <w:jc w:val="lef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Learning more about a specific job that interests you can help you in your job search.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Go to the Job Profile webpage for Food and Beverage Servers: </w:t>
      </w:r>
      <w:hyperlink r:id="rId16">
        <w:r w:rsidDel="00000000" w:rsidR="00000000" w:rsidRPr="00000000">
          <w:rPr>
            <w:color w:val="0563c1"/>
            <w:u w:val="single"/>
            <w:rtl w:val="0"/>
          </w:rPr>
          <w:t xml:space="preserve">https://www.services.labour.gov.on.ca/labourmarket-ui/jobProfile?nocCode=65200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Work Sheet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List three different names for food and beverage servers.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List three places food and beverage servers may be employed.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What is the educational requirement for this job?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List three specialized skills required for this job.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C">
      <w:pPr>
        <w:spacing w:after="240" w:lineRule="auto"/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List three different names for food and beverage servers.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Answer: Any three of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assistant waiter/waitress - food and beverage services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banquet captain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banquet headwaiter/headwaitress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banquet server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a1a1a"/>
          <w:sz w:val="24"/>
          <w:szCs w:val="24"/>
          <w:u w:val="none"/>
          <w:shd w:fill="auto" w:val="clear"/>
          <w:vertAlign w:val="baseline"/>
          <w:rtl w:val="0"/>
        </w:rPr>
        <w:t xml:space="preserve">banquet waiter/waitress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List three places food and beverage servers may be employed.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Answer: They are employed in restaurants, hotels, bars, taverns, private clubs, banquet halls and similar establishments.</w:t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What is the educational requirement for this job?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Answer: Completion of secondary school may be required.  An apprenticeship program is available in Quebec and Saskatchewan.  Formal waiters/waitresses may require completion of a one or two-year apprenticeship or college program.  Responsible beverage certification (Smart Serve) is usually required when serving alcoholic beverages.</w:t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List three specialized skills required for this job.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Answer:  Any three of: Cleaning, Customer Checkout, Food Safety, Food Service Experience, Food Preparation, Cooking, Bill Preparation, Payment Processing, Brand Experience, Cash Handling.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Performance Descriptors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2838"/>
        <w:gridCol w:w="1288"/>
        <w:gridCol w:w="2321"/>
        <w:gridCol w:w="1918"/>
        <w:tblGridChange w:id="0">
          <w:tblGrid>
            <w:gridCol w:w="985"/>
            <w:gridCol w:w="2838"/>
            <w:gridCol w:w="1288"/>
            <w:gridCol w:w="2321"/>
            <w:gridCol w:w="1918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5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Levels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Descriptors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Needs Work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with support from practitioner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independently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A1.2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scans text to locate information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locates multiple pieces of information in simple texts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follows the main events of descriptive, narrative and informational texts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obtains information from detailed reading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begins to identify sources and evaluate information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D.2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selects and follows appropriate steps to complete tasks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locates and recognizes functions and commands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makes low-level inferences to interpret icons and text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begins to identify sources and evaluate information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This task: Was successfully completed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Needs to be tried again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03670849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03670849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03670849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03670849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7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Learner Comments: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153150" cy="1672590"/>
                <wp:effectExtent b="0" l="0" r="0" t="0"/>
                <wp:wrapNone/>
                <wp:docPr id="103670850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153150" cy="1672590"/>
                <wp:effectExtent b="0" l="0" r="0" t="0"/>
                <wp:wrapNone/>
                <wp:docPr id="103670850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672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8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Instructor (print):</w:t>
        <w:tab/>
        <w:tab/>
        <w:tab/>
        <w:tab/>
        <w:tab/>
        <w:t xml:space="preserve">Learner (print):</w:t>
      </w:r>
    </w:p>
    <w:p w:rsidR="00000000" w:rsidDel="00000000" w:rsidP="00000000" w:rsidRDefault="00000000" w:rsidRPr="00000000" w14:paraId="0000008E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                          ____________________</w:t>
      </w:r>
    </w:p>
    <w:p w:rsidR="00000000" w:rsidDel="00000000" w:rsidP="00000000" w:rsidRDefault="00000000" w:rsidRPr="00000000" w14:paraId="0000008F">
      <w:pPr>
        <w:rPr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20" w:type="default"/>
      <w:footerReference r:id="rId21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4c0000"/>
        <w:rtl w:val="0"/>
      </w:rPr>
      <w:t xml:space="preserve">Practitioner Copy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4c0000"/>
      </w:rPr>
    </w:pPr>
    <w:r w:rsidDel="00000000" w:rsidR="00000000" w:rsidRPr="00000000">
      <w:rPr>
        <w:color w:val="4c0000"/>
        <w:rtl w:val="0"/>
      </w:rPr>
      <w:t xml:space="preserve">Task Title: JobProfileFoodAndBeverageServers_E_A1.2_D.2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color w:val="4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paragraph" w:styleId="Normal" w:default="1">
    <w:name w:val="Normal"/>
    <w:qFormat w:val="1"/>
    <w:rsid w:val="002B3976"/>
  </w:style>
  <w:style w:type="paragraph" w:styleId="Heading1">
    <w:name w:val="heading 1"/>
    <w:basedOn w:val="Normal"/>
    <w:next w:val="Normal"/>
    <w:link w:val="Heading1Char"/>
    <w:uiPriority w:val="9"/>
    <w:qFormat w:val="1"/>
    <w:rsid w:val="00F74FB9"/>
    <w:pPr>
      <w:keepNext w:val="1"/>
      <w:keepLines w:val="1"/>
      <w:spacing w:after="0" w:before="240"/>
      <w:jc w:val="center"/>
      <w:outlineLvl w:val="0"/>
    </w:pPr>
    <w:rPr>
      <w:rFonts w:cstheme="majorBidi" w:eastAsiaTheme="majorEastAsia"/>
      <w:color w:val="1f3864" w:themeColor="accent1" w:themeShade="000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25900"/>
    <w:pPr>
      <w:keepNext w:val="1"/>
      <w:keepLines w:val="1"/>
      <w:spacing w:after="0" w:before="40"/>
      <w:jc w:val="center"/>
      <w:outlineLvl w:val="1"/>
    </w:pPr>
    <w:rPr>
      <w:rFonts w:cstheme="majorBidi" w:eastAsiaTheme="majorEastAsia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F74FB9"/>
    <w:pPr>
      <w:spacing w:after="0" w:line="240" w:lineRule="auto"/>
      <w:contextualSpacing w:val="1"/>
    </w:pPr>
    <w:rPr>
      <w:rFonts w:cstheme="majorBidi" w:eastAsiaTheme="majorEastAsia"/>
      <w:b w:val="1"/>
      <w:spacing w:val="-10"/>
      <w:kern w:val="28"/>
      <w:sz w:val="28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74FB9"/>
    <w:rPr>
      <w:rFonts w:ascii="Verdana" w:hAnsi="Verdana" w:cstheme="majorBidi" w:eastAsiaTheme="majorEastAsia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5900"/>
    <w:rPr>
      <w:rFonts w:ascii="Verdana" w:hAnsi="Verdana" w:cstheme="majorBidi" w:eastAsiaTheme="majorEastAsia"/>
      <w:color w:val="4c0000"/>
      <w:sz w:val="32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F74FB9"/>
    <w:rPr>
      <w:rFonts w:ascii="Verdana" w:hAnsi="Verdana" w:cstheme="majorBidi" w:eastAsiaTheme="majorEastAsia"/>
      <w:b w:val="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 w:val="1"/>
    <w:rsid w:val="00BE25C6"/>
    <w:rPr>
      <w:rFonts w:ascii="Verdana" w:hAnsi="Verdana"/>
      <w:b w:val="1"/>
      <w:bCs w:val="1"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 w:val="1"/>
    <w:rsid w:val="00EA1D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451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110F5"/>
    <w:rPr>
      <w:color w:val="954f72" w:themeColor="followedHyperlink"/>
      <w:u w:val="single"/>
    </w:rPr>
  </w:style>
  <w:style w:type="paragraph" w:styleId="NoSpacing">
    <w:name w:val="No Spacing"/>
    <w:uiPriority w:val="1"/>
    <w:qFormat w:val="1"/>
    <w:rsid w:val="00EC4556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8.png"/><Relationship Id="rId10" Type="http://schemas.openxmlformats.org/officeDocument/2006/relationships/image" Target="media/image4.png"/><Relationship Id="rId21" Type="http://schemas.openxmlformats.org/officeDocument/2006/relationships/footer" Target="footer1.xml"/><Relationship Id="rId13" Type="http://schemas.openxmlformats.org/officeDocument/2006/relationships/image" Target="media/image2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yperlink" Target="https://www.services.labour.gov.on.ca/labourmarket-ui/search" TargetMode="External"/><Relationship Id="rId14" Type="http://schemas.openxmlformats.org/officeDocument/2006/relationships/image" Target="media/image10.png"/><Relationship Id="rId17" Type="http://schemas.openxmlformats.org/officeDocument/2006/relationships/image" Target="media/image3.png"/><Relationship Id="rId16" Type="http://schemas.openxmlformats.org/officeDocument/2006/relationships/hyperlink" Target="https://www.services.labour.gov.on.ca/labourmarket-ui/jobProfile?nocCode=65200" TargetMode="External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5.png"/><Relationship Id="rId7" Type="http://schemas.openxmlformats.org/officeDocument/2006/relationships/image" Target="media/image1.jp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6O/NyVcubrTV1lmfLJ2zIErS8A==">CgMxLjAyCGguZ2pkZ3hzOAByITFtWTlyRFdOcGpZQUxJMmpWR0FNLUxKMTVRQV9TY2MwMQ==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2024-01-02T19:14:00Z</dcterms:created>
  <dc:creator>Cassandra Beirnes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8ae6a7f6bb8333a2bc86992811afe763a98fb9ecbfde110c0f4490c69378b6f1</vt:lpwstr>
  </property>
</Properties>
</file>